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MONTANA RESIDENTIAL LEASE AGREEMENT TEMPLATE</w:t>
      </w:r>
    </w:p>
    <w:p>
      <w:pPr>
        <w:spacing w:after="140"/>
      </w:pPr>
      <w:r>
        <w:rPr>
          <w:rFonts w:ascii="Times New Roman" w:cs="Times New Roman" w:eastAsia="Times New Roman" w:hAnsi="Times New Roman"/>
          <w:sz w:val="22"/>
          <w:szCs w:val="22"/>
        </w:rPr>
        <w:t xml:space="preserve">Governing jurisdiction: Montana (MT). This template is intended for residential property located in Montana.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Montana,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Montana.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Montana as the governing jurisdiction. It does not automatically supply every disclosure, addendum, notice, or local term that may apply to the Premises or Parties. Before signing, review current Montana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Montana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Residential Lease Agreement Template — Free Editable Template</dc:title>
  <dc:subject>Editable blank residential lease agreement template for Montana</dc:subject>
  <dc:creator>LawVault</dc:creator>
  <cp:keywords>Montana, residential lease agreement, editable template</cp:keywords>
  <dc:description>This free Montana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2026-10-01T13:59:25.721Z</dcterms:created>
  <dcterms:modified xsi:type="dcterms:W3CDTF">2026-10-01T13:59:25.721Z</dcterms:modified>
</cp:coreProperties>
</file>

<file path=docProps/custom.xml><?xml version="1.0" encoding="utf-8"?>
<Properties xmlns="http://schemas.openxmlformats.org/officeDocument/2006/custom-properties" xmlns:vt="http://schemas.openxmlformats.org/officeDocument/2006/docPropsVTypes"/>
</file>